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DB" w:rsidRPr="00F02EDB" w:rsidRDefault="00F02EDB" w:rsidP="00F02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t>T. NR 1 : EUTANAZJA CZY ŻYCIE DO KOŃCA?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Racje przeciw eutanazji- w obronie życia ludzkiego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1.Bóg jest Panem życia i śmierci.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2.Życie to największy dar i dobro ziemskie i należy je szanować w zakresie hierarchii wartości nam danych.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3.Eutanazja narusza tę hierarchię absolutyzując wolność tak naprawdę zabijając tę wolność.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4.Eutanazja wkracza w kompetencje Boga -jedynego zbawiciela.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5.Eutanazja wykracza przeciw dobru wspólnemu społeczności, której obowiązkiem jest chronić słabych, starych , schorowanych czy niepełnosprawnych.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6.Eutanazja dobrowolna otwiera drogę eutanazji z litości </w:t>
      </w:r>
      <w:proofErr w:type="spellStart"/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t>lu</w:t>
      </w:r>
      <w:proofErr w:type="spellEnd"/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dobrowolności pozornej.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7.Żądanie eutanazji to znak braku zaufania dla medycyny i lekarzy.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8. Eutanazja może naruszać wybór sumienia lekarza.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9.Wątpliwości budzi dobrowolność decyzji pacjenta, który może być przymuszany przez rodzinę, sugestie lekarza, wpływ środków przekazu czy uwarunkowania ekonomiczne.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10. Lekarz nie może mieć absolutnego prawa do decyzji o końcu życia.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11.Leczenie i diagnoza też są obarczone błędem.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T. NR 2: Klonowanie - sukces czy klęska?</w:t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Stolica Apostolska zdecydowanie opowiada się za wprowadzeniem powszechnego i całkowitego zakazu klonowania istot ludzkich, zarówno w celach reprodukcyjnych, jak i dla potrzeb </w:t>
      </w:r>
      <w:proofErr w:type="spellStart"/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t>nauki.Klonowanie</w:t>
      </w:r>
      <w:proofErr w:type="spellEnd"/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istot ludzkich, nawet wtedy, gdy podejmowane jest z myślą o poprawie bytu ludzkości, stanowi pogwałcenie godności osoby </w:t>
      </w:r>
      <w:proofErr w:type="spellStart"/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t>ludzkiej.Klonowanie</w:t>
      </w:r>
      <w:proofErr w:type="spellEnd"/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embrionów prowadzi do uprzedmiotowienia ludzkiej płciowości i komercjalizacji ludzkiego życia.</w:t>
      </w:r>
    </w:p>
    <w:p w:rsidR="00F02EDB" w:rsidRPr="00F02EDB" w:rsidRDefault="00F02EDB" w:rsidP="00F02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Polecenie: Notatki do zeszytu.</w:t>
      </w:r>
    </w:p>
    <w:p w:rsidR="00F02EDB" w:rsidRPr="00F02EDB" w:rsidRDefault="00F02EDB" w:rsidP="00F02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F02EDB" w:rsidRPr="00F02EDB" w:rsidRDefault="00F02EDB" w:rsidP="00F02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2EDB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6C0DBF" w:rsidRDefault="006C0DBF">
      <w:bookmarkStart w:id="0" w:name="_GoBack"/>
      <w:bookmarkEnd w:id="0"/>
    </w:p>
    <w:sectPr w:rsidR="006C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B"/>
    <w:rsid w:val="006C0DBF"/>
    <w:rsid w:val="00F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9FBA-1704-4B8C-8E5C-0FD14C32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2020-04-23T16:49:00Z</dcterms:created>
  <dcterms:modified xsi:type="dcterms:W3CDTF">2020-04-23T16:50:00Z</dcterms:modified>
</cp:coreProperties>
</file>